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直流电阻测试仪</w:t>
      </w:r>
      <w:r>
        <w:rPr>
          <w:rFonts w:hint="eastAsia" w:ascii="宋体" w:hAnsi="宋体" w:cs="宋体"/>
          <w:i w:val="0"/>
          <w:caps w:val="0"/>
          <w:color w:val="000000"/>
          <w:spacing w:val="0"/>
          <w:sz w:val="18"/>
          <w:szCs w:val="18"/>
          <w:lang w:eastAsia="zh-CN"/>
        </w:rPr>
        <w:t>产品应用</w:t>
      </w:r>
      <w:bookmarkStart w:id="0" w:name="_GoBack"/>
      <w:bookmarkEnd w:id="0"/>
      <w:r>
        <w:rPr>
          <w:rFonts w:hint="eastAsia" w:ascii="宋体" w:hAnsi="宋体" w:eastAsia="宋体" w:cs="宋体"/>
          <w:i w:val="0"/>
          <w:caps w:val="0"/>
          <w:color w:val="000000"/>
          <w:spacing w:val="0"/>
          <w:sz w:val="18"/>
          <w:szCs w:val="18"/>
        </w:rPr>
        <w:t>原理</w:t>
      </w:r>
      <w:r>
        <w:rPr>
          <w:rFonts w:hint="eastAsia" w:ascii="宋体" w:hAnsi="宋体" w:cs="宋体"/>
          <w:i w:val="0"/>
          <w:caps w:val="0"/>
          <w:color w:val="000000"/>
          <w:spacing w:val="0"/>
          <w:sz w:val="18"/>
          <w:szCs w:val="18"/>
          <w:lang w:eastAsia="zh-CN"/>
        </w:rPr>
        <w:t>分析</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绝缘电阻是指用绝缘材料隔开两部分导体之间的电阻,而绝缘电阻测试仪是用来测量绝缘电阻大小的仪器.为了保证电气设备运行的安全,应对其不同极性(不同相)的导体之间或导体与外壳之间的绝缘电阻提出一个zui低要求.武汉博试电气有限公司作为电器生产厂家,其生产的电器设备在出厂前均要进行一定电压下的绝缘电阻测试试验,以保证设备的正常工作及使用设备人员的人身安全.</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许多电器设备在使用期间也要定期进行绝缘电阻测试试验,例如在每年的黄梅季节和雷雨天气时期,各个企业的各种电气设备,特别是高压设备都会有不同程度的受潮或局部损伤,使电气设备的绝缘电阻减小,直接威胁着电气设备的安全运行及工作人员的人身安全.为了防止事故的发生,必须定期对电气设备进行各种预防性试验.再如家用电器的安全要求规定:基本绝缘为2MQ;加强绝缘为7MQ,这是为了电气设备的正常运行和工作人员的人身安全.</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所以了解设备的绝缘特性就显得尤为重要了.影响绝缘电阻测量值的因素有:温度、湿度、测量电压及作用时间、绕组中残存电荷和绝缘的表面状况等.通过测量电气设备的绝缘电阻,可以达到如下目的:</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(1)了解绝缘结构的绝缘性能.由绝缘材料组成的合理的绝缘结构(或绝缘系统)应具有良好的绝缘性能和较高的绝缘电阻;</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(2)了解电器产品绝缘处理质量.电器产品绝缘处理不佳,其绝缘性能将明显下降;</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(3)了解绝缘受潮及受污染情况,当电气设备的绝缘受潮及受污染后,其绝缘电阻通常会明显下降;</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(4)检验绝缘是否能够承受耐电压试验.若在电气设备的绝缘电阻低于某一限值时进行耐电压测试,将会产生较大的试验电流,造成热击穿而损坏电气设备的绝缘.因此,通常各式各样试验标准均规定在耐电压试验前,先测量绝缘电阻.</w:t>
      </w: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p>
    <w:p>
      <w:pPr>
        <w:pStyle w:val="7"/>
        <w:keepNext w:val="0"/>
        <w:keepLines w:val="0"/>
        <w:widowControl/>
        <w:suppressLineNumbers w:val="0"/>
        <w:spacing w:before="75" w:beforeAutospacing="0" w:after="75" w:afterAutospacing="0"/>
        <w:ind w:right="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xml:space="preserve">可见,绝缘电阻的大小常能灵敏地反映绝缘情况,能有效地发现设备普遍受潮、局部严重受潮和贯穿性缺陷.因此,测量绝缘电阻,是了解设备绝缘情况的重要手段之一,是绝缘预防性试验中不可缺少的一项. </w:t>
      </w:r>
    </w:p>
    <w:p>
      <w:pPr>
        <w:pStyle w:val="7"/>
        <w:keepNext w:val="0"/>
        <w:keepLines w:val="0"/>
        <w:widowControl/>
        <w:suppressLineNumbers w:val="0"/>
        <w:spacing w:before="75" w:beforeAutospacing="0" w:after="75" w:afterAutospacing="0"/>
        <w:ind w:right="0" w:firstLine="360"/>
        <w:rPr>
          <w:rFonts w:hint="eastAsia" w:ascii="宋体" w:hAnsi="宋体" w:eastAsia="宋体" w:cs="宋体"/>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18"/>
          <w:szCs w:val="18"/>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耐电压检测仪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6D1F84"/>
    <w:rsid w:val="2077563F"/>
    <w:rsid w:val="207F3E9A"/>
    <w:rsid w:val="20886578"/>
    <w:rsid w:val="20AA5C80"/>
    <w:rsid w:val="20BB264D"/>
    <w:rsid w:val="213A1E8A"/>
    <w:rsid w:val="214955DB"/>
    <w:rsid w:val="217A56C7"/>
    <w:rsid w:val="21B8205A"/>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84474EF"/>
    <w:rsid w:val="28541831"/>
    <w:rsid w:val="286053E6"/>
    <w:rsid w:val="28A860A9"/>
    <w:rsid w:val="291406A3"/>
    <w:rsid w:val="295117A9"/>
    <w:rsid w:val="29565E2D"/>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6918B0"/>
    <w:rsid w:val="2FA37DAD"/>
    <w:rsid w:val="2FA75B85"/>
    <w:rsid w:val="2FE06738"/>
    <w:rsid w:val="302B1B87"/>
    <w:rsid w:val="30620C8D"/>
    <w:rsid w:val="306A67ED"/>
    <w:rsid w:val="307604C8"/>
    <w:rsid w:val="307C70F2"/>
    <w:rsid w:val="308D7A5A"/>
    <w:rsid w:val="30904BBB"/>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EA2C34"/>
    <w:rsid w:val="32F161E2"/>
    <w:rsid w:val="33116503"/>
    <w:rsid w:val="331C7336"/>
    <w:rsid w:val="33781A63"/>
    <w:rsid w:val="33900996"/>
    <w:rsid w:val="34135083"/>
    <w:rsid w:val="34443FF0"/>
    <w:rsid w:val="34870A01"/>
    <w:rsid w:val="34913BC0"/>
    <w:rsid w:val="34AD5293"/>
    <w:rsid w:val="34FE0D33"/>
    <w:rsid w:val="35030AFC"/>
    <w:rsid w:val="350A28DC"/>
    <w:rsid w:val="35202C1E"/>
    <w:rsid w:val="35460218"/>
    <w:rsid w:val="356B5B43"/>
    <w:rsid w:val="35DE36DF"/>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C54071"/>
    <w:rsid w:val="38DB3786"/>
    <w:rsid w:val="3909659C"/>
    <w:rsid w:val="392600FE"/>
    <w:rsid w:val="39445B70"/>
    <w:rsid w:val="395F7F8A"/>
    <w:rsid w:val="399F7EA6"/>
    <w:rsid w:val="39DE23D1"/>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856A76"/>
    <w:rsid w:val="3DAF177C"/>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6D27AB"/>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666E0"/>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AD23A02"/>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ED6034A"/>
    <w:rsid w:val="5F2730A0"/>
    <w:rsid w:val="5F562886"/>
    <w:rsid w:val="5F9E1BC4"/>
    <w:rsid w:val="5FA50DA4"/>
    <w:rsid w:val="5FAA28F8"/>
    <w:rsid w:val="5FC043EF"/>
    <w:rsid w:val="5FCA5B59"/>
    <w:rsid w:val="5FCC2675"/>
    <w:rsid w:val="5FCF7C97"/>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EE488A"/>
    <w:rsid w:val="62F74E92"/>
    <w:rsid w:val="62FA4940"/>
    <w:rsid w:val="63371EA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6A0F8B"/>
    <w:rsid w:val="686A29ED"/>
    <w:rsid w:val="68A45D08"/>
    <w:rsid w:val="68A54895"/>
    <w:rsid w:val="68B22F27"/>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3803BA"/>
    <w:rsid w:val="6D456E9B"/>
    <w:rsid w:val="6D632D2C"/>
    <w:rsid w:val="6D747DB4"/>
    <w:rsid w:val="6D7A5DB1"/>
    <w:rsid w:val="6D8305DE"/>
    <w:rsid w:val="6D907CBA"/>
    <w:rsid w:val="6DAC744A"/>
    <w:rsid w:val="6DCC3DC3"/>
    <w:rsid w:val="6E422D8B"/>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675639"/>
    <w:rsid w:val="7276161C"/>
    <w:rsid w:val="72A72ADC"/>
    <w:rsid w:val="72D7797D"/>
    <w:rsid w:val="72D83BAF"/>
    <w:rsid w:val="72DD6838"/>
    <w:rsid w:val="72DF6EFD"/>
    <w:rsid w:val="72FD76C6"/>
    <w:rsid w:val="731D7316"/>
    <w:rsid w:val="73210CCF"/>
    <w:rsid w:val="732B1995"/>
    <w:rsid w:val="73320CA6"/>
    <w:rsid w:val="73454FBB"/>
    <w:rsid w:val="73821F71"/>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E4B31"/>
    <w:rsid w:val="7B51000B"/>
    <w:rsid w:val="7B6E004E"/>
    <w:rsid w:val="7BCF1571"/>
    <w:rsid w:val="7BE23E30"/>
    <w:rsid w:val="7BEC35DD"/>
    <w:rsid w:val="7BF51402"/>
    <w:rsid w:val="7BFE356B"/>
    <w:rsid w:val="7C094C2F"/>
    <w:rsid w:val="7C112739"/>
    <w:rsid w:val="7C165936"/>
    <w:rsid w:val="7C367C32"/>
    <w:rsid w:val="7C6D70F6"/>
    <w:rsid w:val="7C705F23"/>
    <w:rsid w:val="7C757DD3"/>
    <w:rsid w:val="7C776226"/>
    <w:rsid w:val="7C9C55F0"/>
    <w:rsid w:val="7D1C61C0"/>
    <w:rsid w:val="7D202F27"/>
    <w:rsid w:val="7D447A06"/>
    <w:rsid w:val="7D5C5B75"/>
    <w:rsid w:val="7D6468B0"/>
    <w:rsid w:val="7D691406"/>
    <w:rsid w:val="7D851468"/>
    <w:rsid w:val="7D905300"/>
    <w:rsid w:val="7D951DD2"/>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947</Words>
  <Characters>947</Characters>
  <Lines>0</Lines>
  <Paragraphs>0</Paragraphs>
  <ScaleCrop>false</ScaleCrop>
  <LinksUpToDate>false</LinksUpToDate>
  <CharactersWithSpaces>978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2022-08-12T09:49:24Z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